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14E67" w14:textId="77777777" w:rsidR="00864A40" w:rsidRDefault="00000000">
      <w:pPr>
        <w:spacing w:after="40" w:line="276" w:lineRule="auto"/>
        <w:jc w:val="center"/>
      </w:pPr>
      <w:r>
        <w:rPr>
          <w:b/>
          <w:bCs/>
        </w:rPr>
        <w:t>HALİÇ ÜNİVERSİTESİ</w:t>
      </w:r>
    </w:p>
    <w:p w14:paraId="48DCAADC" w14:textId="77777777" w:rsidR="00E535BA" w:rsidRDefault="00E535BA" w:rsidP="00E535BA">
      <w:pPr>
        <w:spacing w:after="80" w:line="276" w:lineRule="auto"/>
        <w:jc w:val="center"/>
        <w:rPr>
          <w:b/>
          <w:bCs/>
        </w:rPr>
      </w:pPr>
      <w:r w:rsidRPr="00E535BA">
        <w:rPr>
          <w:b/>
          <w:bCs/>
        </w:rPr>
        <w:t>HALİÇ AI TEKNOLOJİ GELİŞTİRME MERKEZİ A.Ş.</w:t>
      </w:r>
    </w:p>
    <w:p w14:paraId="05B1ECB3" w14:textId="325D85A4" w:rsidR="00864A40" w:rsidRPr="00E535BA" w:rsidRDefault="00000000" w:rsidP="00E535BA">
      <w:pPr>
        <w:spacing w:after="80" w:line="276" w:lineRule="auto"/>
        <w:jc w:val="center"/>
        <w:rPr>
          <w:b/>
          <w:bCs/>
        </w:rPr>
      </w:pPr>
      <w:r>
        <w:rPr>
          <w:b/>
          <w:bCs/>
          <w:sz w:val="28"/>
          <w:szCs w:val="28"/>
        </w:rPr>
        <w:t>GİZLİLİK SÖZLEŞMESİ</w:t>
      </w:r>
    </w:p>
    <w:p w14:paraId="3EC6186C" w14:textId="77777777" w:rsidR="00E535BA" w:rsidRDefault="00E535BA">
      <w:pPr>
        <w:spacing w:after="120" w:line="276" w:lineRule="auto"/>
        <w:jc w:val="both"/>
      </w:pPr>
    </w:p>
    <w:p w14:paraId="3C3A5876" w14:textId="5493A24C" w:rsidR="00864A40" w:rsidRDefault="00000000">
      <w:pPr>
        <w:spacing w:after="120" w:line="276" w:lineRule="auto"/>
        <w:jc w:val="both"/>
      </w:pPr>
      <w:r>
        <w:t>İşbu Karşılıklı Gizlilik Sözleşmesi (“Sözleşme”), [GÜN.AY.YIL] tarihinde, aşağıda bilgileri yer alan Taraflar arasında akdedilmiştir.</w:t>
      </w:r>
    </w:p>
    <w:p w14:paraId="25607B63" w14:textId="77777777" w:rsidR="00864A40" w:rsidRDefault="00000000">
      <w:pPr>
        <w:spacing w:before="240" w:after="120" w:line="276" w:lineRule="auto"/>
      </w:pPr>
      <w:r>
        <w:rPr>
          <w:b/>
          <w:bCs/>
        </w:rPr>
        <w:t>MADDE 1 – TARAFLAR</w:t>
      </w:r>
    </w:p>
    <w:p w14:paraId="016A5A9D" w14:textId="061FFB01" w:rsidR="00864A40" w:rsidRDefault="00000000">
      <w:pPr>
        <w:spacing w:after="120" w:line="276" w:lineRule="auto"/>
        <w:jc w:val="both"/>
      </w:pPr>
      <w:r>
        <w:t xml:space="preserve">1.1. Bir tarafta; Haliç Üniversitesi bünyesinde faaliyet gösteren ve </w:t>
      </w:r>
      <w:r w:rsidR="00E535BA" w:rsidRPr="00E535BA">
        <w:t xml:space="preserve">5. Levent Mah. 15 Temmuz Şehitler Cad. No: 14/12 </w:t>
      </w:r>
      <w:proofErr w:type="spellStart"/>
      <w:r w:rsidR="00E535BA" w:rsidRPr="00E535BA">
        <w:t>Eyüpsultan</w:t>
      </w:r>
      <w:proofErr w:type="spellEnd"/>
      <w:r w:rsidR="00E535BA" w:rsidRPr="00E535BA">
        <w:t>/İSTANBUL</w:t>
      </w:r>
      <w:r>
        <w:t xml:space="preserve"> adresinde bulunan </w:t>
      </w:r>
      <w:r w:rsidR="00E535BA" w:rsidRPr="00E535BA">
        <w:t>HALİÇ AI TEKNOLOJİ GELİŞTİRME MERKEZİ A.Ş.</w:t>
      </w:r>
      <w:r>
        <w:t xml:space="preserve"> (bundan böyle kısaca “TEKMER” olarak anılacaktır);</w:t>
      </w:r>
    </w:p>
    <w:p w14:paraId="6822DDBF" w14:textId="77777777" w:rsidR="00864A40" w:rsidRDefault="00000000">
      <w:pPr>
        <w:spacing w:after="120" w:line="276" w:lineRule="auto"/>
        <w:jc w:val="both"/>
      </w:pPr>
      <w:r>
        <w:t>1.2. Diğer tarafta; aşağıda kimlik ve/veya ticari bilgileri yer alan gerçek ya da tüzel kişi (bundan böyle kısaca “Katılımcı” olarak anılacaktır) yer almaktadır:</w:t>
      </w:r>
    </w:p>
    <w:p w14:paraId="1CA1E8BE" w14:textId="77777777" w:rsidR="00864A40" w:rsidRDefault="00000000">
      <w:pPr>
        <w:spacing w:after="120" w:line="276" w:lineRule="auto"/>
        <w:ind w:left="425"/>
        <w:jc w:val="both"/>
      </w:pPr>
      <w:r>
        <w:t xml:space="preserve">– Gerçek kişi ise: Ad </w:t>
      </w:r>
      <w:proofErr w:type="spellStart"/>
      <w:r>
        <w:t>Soyad</w:t>
      </w:r>
      <w:proofErr w:type="spellEnd"/>
      <w:r>
        <w:t>: [………], T.C. Kimlik No: [………], Adres: [………]</w:t>
      </w:r>
    </w:p>
    <w:p w14:paraId="0A6A85BC" w14:textId="77777777" w:rsidR="00864A40" w:rsidRDefault="00000000">
      <w:pPr>
        <w:spacing w:after="120" w:line="276" w:lineRule="auto"/>
        <w:ind w:left="425"/>
        <w:jc w:val="both"/>
      </w:pPr>
      <w:r>
        <w:t>– Tüzel kişi ise: Ticaret Unvanı: [………], Vergi Dairesi / Vergi No: [………], MERSİS No: [………], Adres: [………], Temsile Yetkili Kişi ve Görevi: [………]</w:t>
      </w:r>
    </w:p>
    <w:p w14:paraId="3399466E" w14:textId="77777777" w:rsidR="00864A40" w:rsidRDefault="00000000">
      <w:pPr>
        <w:spacing w:after="120" w:line="276" w:lineRule="auto"/>
        <w:jc w:val="both"/>
      </w:pPr>
      <w:r>
        <w:t xml:space="preserve">1.3. TEKMER ve Katılımcı, işbu </w:t>
      </w:r>
      <w:proofErr w:type="spellStart"/>
      <w:r>
        <w:t>Sözleşme’de</w:t>
      </w:r>
      <w:proofErr w:type="spellEnd"/>
      <w:r>
        <w:t xml:space="preserve"> ayrı ayrı “Taraf”, birlikte “Taraflar” olarak anılacaktır. İşbu Sözleşme karşılıklı (mütekabil) nitelikte olup her bir Taraf, duruma göre “Açıklayan Taraf” veya “Alan Taraf” sıfatını haiz olabilir.</w:t>
      </w:r>
    </w:p>
    <w:p w14:paraId="1A2FA83B" w14:textId="77777777" w:rsidR="00864A40" w:rsidRDefault="00000000">
      <w:pPr>
        <w:spacing w:before="240" w:after="120" w:line="276" w:lineRule="auto"/>
      </w:pPr>
      <w:r>
        <w:rPr>
          <w:b/>
          <w:bCs/>
        </w:rPr>
        <w:t>MADDE 2 – SÖZLEŞMENİN KONUSU, AMACI VE KAPSADIĞI SÜREÇLER</w:t>
      </w:r>
    </w:p>
    <w:p w14:paraId="315590BD" w14:textId="77777777" w:rsidR="00864A40" w:rsidRDefault="00000000">
      <w:pPr>
        <w:spacing w:after="120" w:line="276" w:lineRule="auto"/>
        <w:jc w:val="both"/>
      </w:pPr>
      <w:r>
        <w:t>2.1. İşbu Sözleşme’nin konusu; Taraflar arasında aşağıda işaretlenen süreç veya süreçler (“Amaç”) kapsamında yazılı, sözlü, görsel, elektronik ya da sair her türlü yolla paylaşılan Gizli Bilgilerin karşılıklı olarak korunmasına, bu bilgilerin yalnızca Amaç doğrultusunda kullanılmasına ve yetkisiz üçüncü kişilere aktarılmamasına ilişkin Tarafların hak ve yükümlülüklerinin belirlenmesidir:</w:t>
      </w:r>
    </w:p>
    <w:p w14:paraId="3A9E6A11" w14:textId="64186511" w:rsidR="00864A40" w:rsidRDefault="00000000">
      <w:pPr>
        <w:spacing w:after="60" w:line="276" w:lineRule="auto"/>
        <w:ind w:left="425"/>
      </w:pPr>
      <w:r>
        <w:t xml:space="preserve">☐ </w:t>
      </w:r>
      <w:proofErr w:type="spellStart"/>
      <w:r w:rsidR="00E535BA">
        <w:t>Tekmer</w:t>
      </w:r>
      <w:proofErr w:type="spellEnd"/>
      <w:r w:rsidR="00E535BA">
        <w:t xml:space="preserve"> firması olarak yer almak üzere b</w:t>
      </w:r>
      <w:r>
        <w:t>aşvuru ve değerlendirme süreci</w:t>
      </w:r>
    </w:p>
    <w:p w14:paraId="6A57EBFC" w14:textId="77777777" w:rsidR="00864A40" w:rsidRDefault="00000000">
      <w:pPr>
        <w:spacing w:after="60" w:line="276" w:lineRule="auto"/>
        <w:ind w:left="425"/>
      </w:pPr>
      <w:r>
        <w:t>☐ Ön kuluçka (</w:t>
      </w:r>
      <w:proofErr w:type="spellStart"/>
      <w:r>
        <w:t>pre-incubation</w:t>
      </w:r>
      <w:proofErr w:type="spellEnd"/>
      <w:r>
        <w:t>) süreci</w:t>
      </w:r>
    </w:p>
    <w:p w14:paraId="4A050C45" w14:textId="77777777" w:rsidR="00864A40" w:rsidRDefault="00000000">
      <w:pPr>
        <w:spacing w:after="60" w:line="276" w:lineRule="auto"/>
        <w:ind w:left="425"/>
      </w:pPr>
      <w:r>
        <w:t>☐ Kuluçka (</w:t>
      </w:r>
      <w:proofErr w:type="spellStart"/>
      <w:r>
        <w:t>incubation</w:t>
      </w:r>
      <w:proofErr w:type="spellEnd"/>
      <w:r>
        <w:t>) süreci</w:t>
      </w:r>
    </w:p>
    <w:p w14:paraId="3EB49838" w14:textId="77777777" w:rsidR="00864A40" w:rsidRDefault="00000000">
      <w:pPr>
        <w:spacing w:after="60" w:line="276" w:lineRule="auto"/>
        <w:ind w:left="425"/>
      </w:pPr>
      <w:r>
        <w:t>☐ Çapa (</w:t>
      </w:r>
      <w:proofErr w:type="spellStart"/>
      <w:r>
        <w:t>anchor</w:t>
      </w:r>
      <w:proofErr w:type="spellEnd"/>
      <w:r>
        <w:t>) firma iş birliği süreci</w:t>
      </w:r>
    </w:p>
    <w:p w14:paraId="31407E6D" w14:textId="77777777" w:rsidR="00864A40" w:rsidRDefault="00000000">
      <w:pPr>
        <w:spacing w:after="60" w:line="276" w:lineRule="auto"/>
        <w:ind w:left="425"/>
      </w:pPr>
      <w:r>
        <w:t>☐ Danışmanlık / mentorluk görüşmeleri</w:t>
      </w:r>
    </w:p>
    <w:p w14:paraId="123EEC86" w14:textId="77777777" w:rsidR="00864A40" w:rsidRDefault="00000000">
      <w:pPr>
        <w:spacing w:after="60" w:line="276" w:lineRule="auto"/>
        <w:ind w:left="425"/>
      </w:pPr>
      <w:r>
        <w:t>☐ Eğitim ve/veya etkinlik katılımı</w:t>
      </w:r>
    </w:p>
    <w:p w14:paraId="13048AC1" w14:textId="77777777" w:rsidR="00864A40" w:rsidRDefault="00000000">
      <w:pPr>
        <w:spacing w:after="60" w:line="276" w:lineRule="auto"/>
        <w:ind w:left="425"/>
      </w:pPr>
      <w:r>
        <w:t>☐ Teşvik, destek ve hizmet bilgilendirmesi</w:t>
      </w:r>
    </w:p>
    <w:p w14:paraId="304BB8D3" w14:textId="77777777" w:rsidR="00864A40" w:rsidRDefault="00000000">
      <w:pPr>
        <w:spacing w:after="60" w:line="276" w:lineRule="auto"/>
        <w:ind w:left="425"/>
      </w:pPr>
      <w:r>
        <w:t>☐ Diğer: [……………………………………]</w:t>
      </w:r>
    </w:p>
    <w:p w14:paraId="63FE3EA8" w14:textId="77777777" w:rsidR="00864A40" w:rsidRDefault="00000000">
      <w:pPr>
        <w:spacing w:before="120" w:after="120" w:line="276" w:lineRule="auto"/>
        <w:jc w:val="both"/>
      </w:pPr>
      <w:r>
        <w:t>2.2. Birden fazla sürecin işaretlenmesi mümkündür. İşbu Sözleşme, işaretlenen süreçler ile bunların doğal uzantısı niteliğindeki görüşme, yazışma, sunum ve çalışmaları da kapsar. Herhangi bir sürecin işaretlenmemiş olması hâlinde işbu Sözleşme, Taraflar arasında yürütülen tüm TEKMER süreçlerini kapsayacak şekilde yorumlanır.</w:t>
      </w:r>
    </w:p>
    <w:p w14:paraId="2BB6A23A" w14:textId="77777777" w:rsidR="00864A40" w:rsidRDefault="00000000">
      <w:pPr>
        <w:spacing w:before="240" w:after="120" w:line="276" w:lineRule="auto"/>
      </w:pPr>
      <w:r>
        <w:rPr>
          <w:b/>
          <w:bCs/>
        </w:rPr>
        <w:t>MADDE 3 – TANIMLAR</w:t>
      </w:r>
    </w:p>
    <w:p w14:paraId="187A53D4" w14:textId="77777777" w:rsidR="00864A40" w:rsidRDefault="00000000">
      <w:pPr>
        <w:spacing w:after="120" w:line="276" w:lineRule="auto"/>
        <w:jc w:val="both"/>
      </w:pPr>
      <w:r>
        <w:t xml:space="preserve">3.1. Gizli Bilgi: Açıklayan Taraf’ça Alan Taraf’a, Amaç kapsamında doğrudan veya dolaylı olarak; yazılı, sözlü, görsel, elektronik, manyetik veya sair ortamda yahut numune, model ya da prototip teslimi </w:t>
      </w:r>
      <w:r>
        <w:lastRenderedPageBreak/>
        <w:t>suretiyle açıklanan ve gizli olduğu belirtilen veya niteliği gereği gizli olduğu makul surette anlaşılan her türlü bilgi, belge ve materyali ifade eder. Sayılanlarla sınırlı olmamak üzere; proje ve iş fikirleri, iş planları ve iş modelleri, fizibilite ve Ar-</w:t>
      </w:r>
      <w:proofErr w:type="spellStart"/>
      <w:r>
        <w:t>Ge</w:t>
      </w:r>
      <w:proofErr w:type="spellEnd"/>
      <w:r>
        <w:t xml:space="preserve"> çalışmaları, buluşlar, teknik dokümanlar, çizim ve tasarımlar, prototipler, ürün ve hizmet bilgileri, algoritmalar, yazılımlar ve kaynak kodları, veri tabanları, </w:t>
      </w:r>
      <w:proofErr w:type="spellStart"/>
      <w:r>
        <w:t>know</w:t>
      </w:r>
      <w:proofErr w:type="spellEnd"/>
      <w:r>
        <w:t xml:space="preserve">-how, ticari sırlar, finansal veriler, pazarlama ve fiyatlandırma stratejileri, müşteri ve tedarikçi bilgileri ile </w:t>
      </w:r>
      <w:proofErr w:type="spellStart"/>
      <w:r>
        <w:t>TEKMER’e</w:t>
      </w:r>
      <w:proofErr w:type="spellEnd"/>
      <w:r>
        <w:t xml:space="preserve"> ait olup henüz kamuya açıklanmamış hizmet, program, destek/teşvik, değerlendirme kriteri ve kurumsal bilgiler Gizli Bilgi kapsamındadır.</w:t>
      </w:r>
    </w:p>
    <w:p w14:paraId="27EEADCE" w14:textId="77777777" w:rsidR="00864A40" w:rsidRDefault="00000000">
      <w:pPr>
        <w:spacing w:after="120" w:line="276" w:lineRule="auto"/>
        <w:jc w:val="both"/>
      </w:pPr>
      <w:r>
        <w:t>3.2. Açıklayan Taraf: Gizli Bilgi’yi doğrudan veya dolaylı olarak açıklayan Taraf’ı ifade eder.</w:t>
      </w:r>
    </w:p>
    <w:p w14:paraId="0A8E7DBF" w14:textId="77777777" w:rsidR="00864A40" w:rsidRDefault="00000000">
      <w:pPr>
        <w:spacing w:after="120" w:line="276" w:lineRule="auto"/>
        <w:jc w:val="both"/>
      </w:pPr>
      <w:r>
        <w:t>3.3. Alan Taraf: Gizli Bilgi’yi edinen Taraf’ı ifade eder.</w:t>
      </w:r>
    </w:p>
    <w:p w14:paraId="177ACDEC" w14:textId="77777777" w:rsidR="00864A40" w:rsidRDefault="00000000">
      <w:pPr>
        <w:spacing w:after="120" w:line="276" w:lineRule="auto"/>
        <w:jc w:val="both"/>
      </w:pPr>
      <w:r>
        <w:t xml:space="preserve">3.4. Fikri ve Sınai Mülkiyet Hakları: 5846 sayılı Fikir ve Sanat Eserleri Kanunu, 6769 sayılı Sınai Mülkiyet Kanunu ve ilgili sair mevzuat kapsamında korunan; eserler, patentler, faydalı modeller, markalar, tasarımlar, coğrafi işaretler, </w:t>
      </w:r>
      <w:proofErr w:type="gramStart"/>
      <w:r>
        <w:t>entegre</w:t>
      </w:r>
      <w:proofErr w:type="gramEnd"/>
      <w:r>
        <w:t xml:space="preserve"> devre topografyaları ve bunlara ilişkin başvuru hakları ile </w:t>
      </w:r>
      <w:proofErr w:type="spellStart"/>
      <w:r>
        <w:t>know</w:t>
      </w:r>
      <w:proofErr w:type="spellEnd"/>
      <w:r>
        <w:t>-how ve ticari sırlar dâhil olmak üzere her türlü fikri ve sınai hakkı ifade eder.</w:t>
      </w:r>
    </w:p>
    <w:p w14:paraId="5D3A9FCA" w14:textId="77777777" w:rsidR="00864A40" w:rsidRDefault="00000000">
      <w:pPr>
        <w:spacing w:after="120" w:line="276" w:lineRule="auto"/>
        <w:jc w:val="both"/>
      </w:pPr>
      <w:r>
        <w:t>3.5. Temsilciler: Bir Taraf’ın; yöneticilerini, çalışanlarını, değerlendirme komisyonu üyelerini, hakemlerini, mentorlarını, danışmanlarını, stajyerlerini ve Amaç kapsamında Gizli Bilgi’ye erişmesi zorunlu olan (“bilmesi gereken”) sair görevlilerini ifade eder.</w:t>
      </w:r>
    </w:p>
    <w:p w14:paraId="2D10E60B" w14:textId="77777777" w:rsidR="00864A40" w:rsidRDefault="00000000">
      <w:pPr>
        <w:spacing w:before="240" w:after="120" w:line="276" w:lineRule="auto"/>
      </w:pPr>
      <w:r>
        <w:rPr>
          <w:b/>
          <w:bCs/>
        </w:rPr>
        <w:t>MADDE 4 – GİZLİ BİLGİ KAPSAMI DIŞINDA KALAN HÂLLER</w:t>
      </w:r>
    </w:p>
    <w:p w14:paraId="7C560FC8" w14:textId="77777777" w:rsidR="00864A40" w:rsidRDefault="00000000">
      <w:pPr>
        <w:spacing w:after="120" w:line="276" w:lineRule="auto"/>
        <w:jc w:val="both"/>
      </w:pPr>
      <w:r>
        <w:t>4.1. Aşağıda sayılan bilgiler Gizli Bilgi kapsamında değerlendirilmez:</w:t>
      </w:r>
    </w:p>
    <w:p w14:paraId="0CA8590E" w14:textId="77777777" w:rsidR="00864A40" w:rsidRDefault="00000000">
      <w:pPr>
        <w:spacing w:after="120" w:line="276" w:lineRule="auto"/>
        <w:ind w:left="425"/>
        <w:jc w:val="both"/>
      </w:pPr>
      <w:r>
        <w:t>a) Alan Taraf’ın kusuru veya işbu Sözleşme’nin ihlali söz konusu olmaksızın kamuya mal olmuş ya da sonradan kamuya mal olan bilgiler;</w:t>
      </w:r>
    </w:p>
    <w:p w14:paraId="316D290E" w14:textId="77777777" w:rsidR="00864A40" w:rsidRDefault="00000000">
      <w:pPr>
        <w:spacing w:after="120" w:line="276" w:lineRule="auto"/>
        <w:ind w:left="425"/>
        <w:jc w:val="both"/>
      </w:pPr>
      <w:r>
        <w:t>b) Açıklama tarihinden önce Alan Taraf’ça hukuka uygun şekilde bilindiği veya elde edilmiş olduğu yazılı kayıtlarla ispat edilebilen bilgiler;</w:t>
      </w:r>
    </w:p>
    <w:p w14:paraId="43CCD60D" w14:textId="77777777" w:rsidR="00864A40" w:rsidRDefault="00000000">
      <w:pPr>
        <w:spacing w:after="120" w:line="276" w:lineRule="auto"/>
        <w:ind w:left="425"/>
        <w:jc w:val="both"/>
      </w:pPr>
      <w:r>
        <w:t>c) Alan Taraf’ça, Açıklayan Taraf’ın Gizli Bilgisi kullanılmaksızın bağımsız olarak geliştirildiği ispat edilebilen bilgiler;</w:t>
      </w:r>
    </w:p>
    <w:p w14:paraId="243C9401" w14:textId="77777777" w:rsidR="00864A40" w:rsidRDefault="00000000">
      <w:pPr>
        <w:spacing w:after="120" w:line="276" w:lineRule="auto"/>
        <w:ind w:left="425"/>
        <w:jc w:val="both"/>
      </w:pPr>
      <w:r>
        <w:t>d) Gizlilik yükümlülüğü altında olmayan üçüncü bir kişiden hukuka uygun olarak edinilen bilgiler;</w:t>
      </w:r>
    </w:p>
    <w:p w14:paraId="4306B7B0" w14:textId="77777777" w:rsidR="00864A40" w:rsidRDefault="00000000">
      <w:pPr>
        <w:spacing w:after="120" w:line="276" w:lineRule="auto"/>
        <w:ind w:left="425"/>
        <w:jc w:val="both"/>
      </w:pPr>
      <w:r>
        <w:t>e) Yürürlükteki mevzuat, mahkeme kararı veya yetkili idari merci talebi uyarınca açıklanması zorunlu olan bilgiler. Bu hâlde Alan Taraf, hukuken mümkün olduğu ölçüde açıklamadan önce Açıklayan Taraf’ı derhâl yazılı olarak bilgilendirir ve açıklamayı, zorunlu olan asgari kapsamla sınırlı tutar.</w:t>
      </w:r>
    </w:p>
    <w:p w14:paraId="73C1C628" w14:textId="77777777" w:rsidR="00864A40" w:rsidRDefault="00000000">
      <w:pPr>
        <w:spacing w:before="240" w:after="120" w:line="276" w:lineRule="auto"/>
      </w:pPr>
      <w:r>
        <w:rPr>
          <w:b/>
          <w:bCs/>
        </w:rPr>
        <w:t>MADDE 5 – KULLANIM AMACININ SINIRLANDIRILMASI</w:t>
      </w:r>
    </w:p>
    <w:p w14:paraId="6BDBE9F5" w14:textId="77777777" w:rsidR="00864A40" w:rsidRDefault="00000000">
      <w:pPr>
        <w:spacing w:after="120" w:line="276" w:lineRule="auto"/>
        <w:jc w:val="both"/>
      </w:pPr>
      <w:r>
        <w:t>5.1. Alan Taraf, Gizli Bilgi’yi münhasıran Amaç doğrultusunda kullanabilir; Açıklayan Taraf’ın önceden alınmış yazılı izni olmaksızın Gizli Bilgi’yi başka hiçbir ticari, akademik, bilimsel veya kişisel amaçla doğrudan ya da dolaylı olarak kullanamaz.</w:t>
      </w:r>
    </w:p>
    <w:p w14:paraId="6EAB5EE7" w14:textId="77777777" w:rsidR="00864A40" w:rsidRDefault="00000000">
      <w:pPr>
        <w:spacing w:after="120" w:line="276" w:lineRule="auto"/>
        <w:jc w:val="both"/>
      </w:pPr>
      <w:r>
        <w:t>5.2. Alan Taraf, Gizli Bilgi’yi Amaç için zorunlu olandan fazla çoğaltamaz ve kopyalayamaz; Gizli Bilgi üzerinde tersine mühendislik, kaynak koda dönüştürme veya ayrıştırma işlemleri gerçekleştiremez.</w:t>
      </w:r>
    </w:p>
    <w:p w14:paraId="3F64AA58" w14:textId="77777777" w:rsidR="00864A40" w:rsidRDefault="00000000">
      <w:pPr>
        <w:spacing w:after="120" w:line="276" w:lineRule="auto"/>
        <w:jc w:val="both"/>
      </w:pPr>
      <w:r>
        <w:t>5.3. Alan Taraf, Açıklayan Taraf’a ait Gizli Bilgi’ye dayanarak kendi adına veya üçüncü kişiler adına patent, faydalı model, marka, tasarım ya da sair fikri veya sınai hak başvurusunda bulunamaz.</w:t>
      </w:r>
    </w:p>
    <w:p w14:paraId="2F3C7236" w14:textId="77777777" w:rsidR="00E535BA" w:rsidRDefault="00E535BA">
      <w:pPr>
        <w:rPr>
          <w:b/>
          <w:bCs/>
        </w:rPr>
      </w:pPr>
      <w:r>
        <w:rPr>
          <w:b/>
          <w:bCs/>
        </w:rPr>
        <w:br w:type="page"/>
      </w:r>
    </w:p>
    <w:p w14:paraId="13E7D780" w14:textId="16EA228E" w:rsidR="00864A40" w:rsidRDefault="00000000">
      <w:pPr>
        <w:spacing w:before="240" w:after="120" w:line="276" w:lineRule="auto"/>
      </w:pPr>
      <w:r>
        <w:rPr>
          <w:b/>
          <w:bCs/>
        </w:rPr>
        <w:lastRenderedPageBreak/>
        <w:t>MADDE 6 – GİZLİLİK YÜKÜMLÜLÜKLERİ VE KURUM İÇİ YAYILIMIN SINIRLANDIRILMASI</w:t>
      </w:r>
    </w:p>
    <w:p w14:paraId="404301B2" w14:textId="77777777" w:rsidR="00864A40" w:rsidRDefault="00000000">
      <w:pPr>
        <w:spacing w:after="120" w:line="276" w:lineRule="auto"/>
        <w:jc w:val="both"/>
      </w:pPr>
      <w:r>
        <w:t>6.1. Alan Taraf, Gizli Bilgi’yi en az kendi gizli bilgilerini korumakta gösterdiği özenle ve her hâlükârda basiretli bir kişiden beklenen makul özenden az olmamak üzere korur; yetkisiz erişim, kullanım, ifşa, kayıp ve değişikliğe karşı gerekli idari ve teknik tedbirleri alır.</w:t>
      </w:r>
    </w:p>
    <w:p w14:paraId="65A4EC58" w14:textId="77777777" w:rsidR="00864A40" w:rsidRDefault="00000000">
      <w:pPr>
        <w:spacing w:after="120" w:line="276" w:lineRule="auto"/>
        <w:jc w:val="both"/>
      </w:pPr>
      <w:r>
        <w:t xml:space="preserve">6.2. Alan Taraf, Gizli Bilgi’yi yalnızca Amaç kapsamında bilmesi gereken Temsilcileri ile ve görevin gerektirdiği ölçüde paylaşabilir; bu kişilerin işbu </w:t>
      </w:r>
      <w:proofErr w:type="spellStart"/>
      <w:r>
        <w:t>Sözleşme’dekilere</w:t>
      </w:r>
      <w:proofErr w:type="spellEnd"/>
      <w:r>
        <w:t xml:space="preserve"> en az eşdeğer gizlilik yükümlülüklerine tabi olmasını sağlar ve Temsilcilerinin işbu </w:t>
      </w:r>
      <w:proofErr w:type="spellStart"/>
      <w:r>
        <w:t>Sözleşme’ye</w:t>
      </w:r>
      <w:proofErr w:type="spellEnd"/>
      <w:r>
        <w:t xml:space="preserve"> aykırı fiillerinden bizzat sorumlu olur.</w:t>
      </w:r>
    </w:p>
    <w:p w14:paraId="030BCE47" w14:textId="77777777" w:rsidR="00864A40" w:rsidRDefault="00000000">
      <w:pPr>
        <w:spacing w:after="120" w:line="276" w:lineRule="auto"/>
        <w:jc w:val="both"/>
      </w:pPr>
      <w:r>
        <w:t xml:space="preserve">6.3. TEKMER; Katılımcı tarafından paylaşılan proje, fikir ve sair Gizli Bilgilerin yalnızca değerlendirme komisyonu üyeleri, hakemler, mentorlar, danışmanlar ve süreçte görevli personel ile “bilmesi gereken” ilkesi çerçevesinde paylaşılacağını ve bu kişilerden işbu </w:t>
      </w:r>
      <w:proofErr w:type="spellStart"/>
      <w:r>
        <w:t>Sözleşme’dekilere</w:t>
      </w:r>
      <w:proofErr w:type="spellEnd"/>
      <w:r>
        <w:t xml:space="preserve"> eşdeğer yazılı gizlilik taahhüdü alınacağını kabul, beyan ve taahhüt eder.</w:t>
      </w:r>
    </w:p>
    <w:p w14:paraId="76F53941" w14:textId="77777777" w:rsidR="00864A40" w:rsidRDefault="00000000">
      <w:pPr>
        <w:spacing w:after="120" w:line="276" w:lineRule="auto"/>
        <w:jc w:val="both"/>
      </w:pPr>
      <w:r>
        <w:t>6.4. Alan Taraf, Gizli Bilgi’nin yetkisiz kişilerce elde edildiğini veya ifşa edildiğini öğrendiği anda durumu derhâl Açıklayan Taraf’a yazılı olarak bildirir ve zararın önlenmesi ya da azaltılması için gerekli tüm tedbirleri alır.</w:t>
      </w:r>
    </w:p>
    <w:p w14:paraId="38A26D0D" w14:textId="77777777" w:rsidR="00864A40" w:rsidRDefault="00000000">
      <w:pPr>
        <w:spacing w:before="240" w:after="120" w:line="276" w:lineRule="auto"/>
      </w:pPr>
      <w:r>
        <w:rPr>
          <w:b/>
          <w:bCs/>
        </w:rPr>
        <w:t>MADDE 7 – ÜÇÜNCÜ KİŞİLERLE PAYLAŞIM</w:t>
      </w:r>
    </w:p>
    <w:p w14:paraId="4A3E4EA2" w14:textId="77777777" w:rsidR="00864A40" w:rsidRDefault="00000000">
      <w:pPr>
        <w:spacing w:after="120" w:line="276" w:lineRule="auto"/>
        <w:jc w:val="both"/>
      </w:pPr>
      <w:r>
        <w:t>7.1. Alan Taraf, Gizli Bilgi’yi yatırımcı, dış hakem veya uzman, iş ortağı ve benzeri üçüncü kişilerle ancak Açıklayan Taraf’ın önceden alınmış açık ve yazılı onayı ile paylaşabilir.</w:t>
      </w:r>
    </w:p>
    <w:p w14:paraId="535B7E8F" w14:textId="77777777" w:rsidR="00864A40" w:rsidRDefault="00000000">
      <w:pPr>
        <w:spacing w:after="120" w:line="276" w:lineRule="auto"/>
        <w:jc w:val="both"/>
      </w:pPr>
      <w:r>
        <w:t xml:space="preserve">7.2. Onay verilmesi hâlinde dahi, ilgili üçüncü kişiden işbu </w:t>
      </w:r>
      <w:proofErr w:type="spellStart"/>
      <w:r>
        <w:t>Sözleşme’dekilere</w:t>
      </w:r>
      <w:proofErr w:type="spellEnd"/>
      <w:r>
        <w:t xml:space="preserve"> en az eşdeğer koruma sağlayan yazılı bir gizlilik taahhüdü alınması zorunludur. Söz konusu üçüncü kişilerin ihlallerinden, paylaşımı gerçekleştiren Alan Taraf sorumludur.</w:t>
      </w:r>
    </w:p>
    <w:p w14:paraId="78130864" w14:textId="77777777" w:rsidR="00864A40" w:rsidRDefault="00000000">
      <w:pPr>
        <w:spacing w:before="240" w:after="120" w:line="276" w:lineRule="auto"/>
      </w:pPr>
      <w:r>
        <w:rPr>
          <w:b/>
          <w:bCs/>
        </w:rPr>
        <w:t>MADDE 8 – FİKRİ VE SINAİ MÜLKİYET HAKLARININ SAKLI TUTULMASI</w:t>
      </w:r>
    </w:p>
    <w:p w14:paraId="0D35D95F" w14:textId="77777777" w:rsidR="00864A40" w:rsidRDefault="00000000">
      <w:pPr>
        <w:spacing w:after="120" w:line="276" w:lineRule="auto"/>
        <w:jc w:val="both"/>
      </w:pPr>
      <w:r>
        <w:t>8.1. Gizli Bilgi’nin açıklanması; Alan Taraf’a bu bilgiler üzerinde herhangi bir mülkiyet, lisans, kullanım hakkı veya sair bir hak ya da yetki tanındığı anlamına gelmez. Gizli Bilgi’ye ilişkin tüm Fikri ve Sınai Mülkiyet Hakları, hak sahibi Taraf’ta kalmaya devam eder.</w:t>
      </w:r>
    </w:p>
    <w:p w14:paraId="65E0BA7F" w14:textId="77777777" w:rsidR="00864A40" w:rsidRDefault="00000000">
      <w:pPr>
        <w:spacing w:after="120" w:line="276" w:lineRule="auto"/>
        <w:jc w:val="both"/>
      </w:pPr>
      <w:r>
        <w:t xml:space="preserve">8.2. Katılımcı tarafından sunulan proje, fikir, buluş ve eserler üzerindeki her türlü hak </w:t>
      </w:r>
      <w:proofErr w:type="spellStart"/>
      <w:r>
        <w:t>Katılımcı’ya</w:t>
      </w:r>
      <w:proofErr w:type="spellEnd"/>
      <w:r>
        <w:t xml:space="preserve"> ve/veya ilgili hak sahiplerine aittir. TEKMER ile değerlendirme sürecine katılan kişiler; bu proje ve fikirler üzerinde hak iddiasında bulunmayacaklarını, bunları kendileri veya üçüncü kişiler yararına kullanmayacaklarını kabul, beyan ve taahhüt eder.</w:t>
      </w:r>
    </w:p>
    <w:p w14:paraId="795F81AF" w14:textId="77777777" w:rsidR="00864A40" w:rsidRDefault="00000000">
      <w:pPr>
        <w:spacing w:after="120" w:line="276" w:lineRule="auto"/>
        <w:jc w:val="both"/>
      </w:pPr>
      <w:r>
        <w:t>8.3. İşbu madde; Taraflar arasında ileride akdedilebilecek kuluçka, iş birliği, lisans veya benzeri sözleşmelerde fikri mülkiyete ilişkin ayrıca ve açıkça kararlaştırılacak hükümleri etkilemez.</w:t>
      </w:r>
    </w:p>
    <w:p w14:paraId="5FFF17D3" w14:textId="77777777" w:rsidR="00864A40" w:rsidRDefault="00000000">
      <w:pPr>
        <w:spacing w:before="240" w:after="120" w:line="276" w:lineRule="auto"/>
      </w:pPr>
      <w:r>
        <w:rPr>
          <w:b/>
          <w:bCs/>
        </w:rPr>
        <w:t>MADDE 9 – KİŞİSEL VERİLERİN KORUNMASI (KVKK UYUMU)</w:t>
      </w:r>
    </w:p>
    <w:p w14:paraId="5841E03A" w14:textId="77777777" w:rsidR="00864A40" w:rsidRDefault="00000000">
      <w:pPr>
        <w:spacing w:after="120" w:line="276" w:lineRule="auto"/>
        <w:jc w:val="both"/>
      </w:pPr>
      <w:r>
        <w:t>9.1. Taraflar, işbu Sözleşme kapsamında elde ettikleri kişisel verileri 6698 sayılı Kişisel Verilerin Korunması Kanunu’na (“KVKK”) ve ikincil mevzuata uygun olarak işlemeyi, korumayı ve bu amaçla gerekli idari ve teknik tedbirleri almayı kabul ve taahhüt eder.</w:t>
      </w:r>
    </w:p>
    <w:p w14:paraId="72440475" w14:textId="77777777" w:rsidR="00864A40" w:rsidRDefault="00000000">
      <w:pPr>
        <w:spacing w:after="120" w:line="276" w:lineRule="auto"/>
        <w:jc w:val="both"/>
      </w:pPr>
      <w:r>
        <w:t xml:space="preserve">9.2. Kişisel veriler; başvuruların alınması ve değerlendirilmesi, ön kuluçka, kuluçka ve çapa firma süreçlerinin yürütülmesi, iletişim faaliyetleri, eğitim ve etkinlik organizasyonu ile mevzuattan doğan yükümlülüklerin yerine getirilmesi amaçlarıyla sınırlı, bağlantılı ve ölçülü olarak işlenir; https://halic.edu.tr/tr/universitemiz/kvkk adresinde yayımlanan Haliç Üniversitesi Kişisel Verilerin </w:t>
      </w:r>
      <w:r>
        <w:lastRenderedPageBreak/>
        <w:t xml:space="preserve">Korunması ve Gizlilik </w:t>
      </w:r>
      <w:proofErr w:type="spellStart"/>
      <w:r>
        <w:t>Politikası’nda</w:t>
      </w:r>
      <w:proofErr w:type="spellEnd"/>
      <w:r>
        <w:t xml:space="preserve"> öngörülen süreler boyunca saklanır ve sürenin sonunda </w:t>
      </w:r>
      <w:proofErr w:type="spellStart"/>
      <w:r>
        <w:t>KVKK’ya</w:t>
      </w:r>
      <w:proofErr w:type="spellEnd"/>
      <w:r>
        <w:t xml:space="preserve"> uygun olarak silinir, yok edilir veya anonim hâle getirilir.</w:t>
      </w:r>
    </w:p>
    <w:p w14:paraId="366BF238" w14:textId="77777777" w:rsidR="00864A40" w:rsidRDefault="00000000">
      <w:pPr>
        <w:spacing w:after="120" w:line="276" w:lineRule="auto"/>
        <w:jc w:val="both"/>
      </w:pPr>
      <w:r>
        <w:t xml:space="preserve">9.3. Kişisel veriler; ilgili kişinin açık rızası bulunmadıkça veya </w:t>
      </w:r>
      <w:proofErr w:type="spellStart"/>
      <w:r>
        <w:t>KVKK’nın</w:t>
      </w:r>
      <w:proofErr w:type="spellEnd"/>
      <w:r>
        <w:t xml:space="preserve"> 5, 8 ve 9. maddelerinde öngörülen işleme ve aktarım şartları mevcut olmadıkça üçüncü kişilere ve yurt dışına aktarılamaz.</w:t>
      </w:r>
    </w:p>
    <w:p w14:paraId="66380F9B" w14:textId="77777777" w:rsidR="00864A40" w:rsidRDefault="00000000">
      <w:pPr>
        <w:spacing w:after="120" w:line="276" w:lineRule="auto"/>
        <w:jc w:val="both"/>
      </w:pPr>
      <w:r>
        <w:t xml:space="preserve">9.4. Kişisel verilerin işlenmesine ilişkin ayrıntılı bilgilendirme, https://halic.edu.tr/tr/universitemiz/kvkk ve https://halic.edu.tr/tr/universitemiz/gizlilik-bildirimi adreslerinde yayımlanan metinlerde yer almakta olup ilgili kişiler, </w:t>
      </w:r>
      <w:proofErr w:type="spellStart"/>
      <w:r>
        <w:t>KVKK’nın</w:t>
      </w:r>
      <w:proofErr w:type="spellEnd"/>
      <w:r>
        <w:t xml:space="preserve"> 11. maddesinde sayılan haklarını bu adreslerde belirtilen başvuru kanalları üzerinden kullanabilir.</w:t>
      </w:r>
    </w:p>
    <w:p w14:paraId="0FBB8F2B" w14:textId="77777777" w:rsidR="00864A40" w:rsidRDefault="00000000">
      <w:pPr>
        <w:spacing w:before="240" w:after="120" w:line="276" w:lineRule="auto"/>
      </w:pPr>
      <w:r>
        <w:rPr>
          <w:b/>
          <w:bCs/>
        </w:rPr>
        <w:t>MADDE 10 – SÜRE</w:t>
      </w:r>
    </w:p>
    <w:p w14:paraId="297020A4" w14:textId="77777777" w:rsidR="00864A40" w:rsidRDefault="00000000">
      <w:pPr>
        <w:spacing w:after="120" w:line="276" w:lineRule="auto"/>
        <w:jc w:val="both"/>
      </w:pPr>
      <w:r>
        <w:t>10.1. İşbu Sözleşme, imza tarihinde yürürlüğe girer ve Taraflar arasındaki Amaç kapsamındaki ilişki süresince yürürlükte kalır.</w:t>
      </w:r>
    </w:p>
    <w:p w14:paraId="4DA0FA03" w14:textId="11C3126D" w:rsidR="00864A40" w:rsidRDefault="00000000">
      <w:pPr>
        <w:spacing w:after="120" w:line="276" w:lineRule="auto"/>
        <w:jc w:val="both"/>
      </w:pPr>
      <w:r>
        <w:t>10.2. Gizlilik ve kullanım sınırlamasına ilişkin yükümlülükler; Taraflar arasındaki ilişkinin ve/veya işbu Sözleşme’nin herhangi bir nedenle sona ermesinden itibaren [2] yıl süreyle yürürlükte kalmaya devam eder.</w:t>
      </w:r>
    </w:p>
    <w:p w14:paraId="33A4150A" w14:textId="61B53428" w:rsidR="00864A40" w:rsidRDefault="00000000">
      <w:pPr>
        <w:spacing w:after="120" w:line="276" w:lineRule="auto"/>
        <w:jc w:val="both"/>
      </w:pPr>
      <w:r>
        <w:t>10.3.</w:t>
      </w:r>
      <w:r w:rsidR="00E535BA">
        <w:t xml:space="preserve"> </w:t>
      </w:r>
      <w:r>
        <w:t xml:space="preserve">Ticari sır ve </w:t>
      </w:r>
      <w:proofErr w:type="spellStart"/>
      <w:r>
        <w:t>know</w:t>
      </w:r>
      <w:proofErr w:type="spellEnd"/>
      <w:r>
        <w:t>-how niteliğindeki bilgiler bakımından gizlilik yükümlülüğü, ilgili bilgi bu niteliğini koruduğu sürece devam eder.</w:t>
      </w:r>
    </w:p>
    <w:p w14:paraId="38C7F334" w14:textId="77777777" w:rsidR="00864A40" w:rsidRDefault="00000000">
      <w:pPr>
        <w:spacing w:before="240" w:after="120" w:line="276" w:lineRule="auto"/>
      </w:pPr>
      <w:r>
        <w:rPr>
          <w:b/>
          <w:bCs/>
        </w:rPr>
        <w:t>MADDE 11 – GİZLİ BİLGİLERİN İADESİ VE İMHASI</w:t>
      </w:r>
    </w:p>
    <w:p w14:paraId="69C9F22C" w14:textId="77777777" w:rsidR="00864A40" w:rsidRDefault="00000000">
      <w:pPr>
        <w:spacing w:after="120" w:line="276" w:lineRule="auto"/>
        <w:jc w:val="both"/>
      </w:pPr>
      <w:r>
        <w:t>11.1. Alan Taraf; Açıklayan Taraf’ın yazılı talebi üzerine veya Amaç kapsamındaki ilişkinin sona ermesi hâlinde, Gizli Bilgi içeren tüm belge, materyal ve kopyaları (elektronik kayıtlar dâhil) derhâl iade eder veya Açıklayan Taraf’ın tercihine göre geri döndürülemez biçimde imha eder ve imhayı yazılı olarak teyit eder.</w:t>
      </w:r>
    </w:p>
    <w:p w14:paraId="035C6B7D" w14:textId="77777777" w:rsidR="00864A40" w:rsidRDefault="00000000">
      <w:pPr>
        <w:spacing w:after="120" w:line="276" w:lineRule="auto"/>
        <w:jc w:val="both"/>
      </w:pPr>
      <w:r>
        <w:t xml:space="preserve">11.2. Mevzuat ya da kurumsal arşiv düzenlemeleri uyarınca saklanması zorunlu olan kayıtlar bu hükmün istisnası olup söz konusu kayıtlar hakkında işbu </w:t>
      </w:r>
      <w:proofErr w:type="spellStart"/>
      <w:r>
        <w:t>Sözleşme’deki</w:t>
      </w:r>
      <w:proofErr w:type="spellEnd"/>
      <w:r>
        <w:t xml:space="preserve"> gizlilik yükümlülükleri aynen devam eder.</w:t>
      </w:r>
    </w:p>
    <w:p w14:paraId="0B94444C" w14:textId="77777777" w:rsidR="00864A40" w:rsidRDefault="00000000">
      <w:pPr>
        <w:spacing w:before="240" w:after="120" w:line="276" w:lineRule="auto"/>
      </w:pPr>
      <w:r>
        <w:rPr>
          <w:b/>
          <w:bCs/>
        </w:rPr>
        <w:t>MADDE 12 – İHLAL VE YAPTIRIMLAR</w:t>
      </w:r>
    </w:p>
    <w:p w14:paraId="520CDFB1" w14:textId="77777777" w:rsidR="00864A40" w:rsidRDefault="00000000">
      <w:pPr>
        <w:spacing w:after="120" w:line="276" w:lineRule="auto"/>
        <w:jc w:val="both"/>
      </w:pPr>
      <w:r>
        <w:t xml:space="preserve">12.1. İşbu Sözleşme’nin ihlali hâlinde Açıklayan Taraf’ın; uğradığı maddi ve manevi zararların tazminini talep etme, işbu </w:t>
      </w:r>
      <w:proofErr w:type="spellStart"/>
      <w:r>
        <w:t>Sözleşme’yi</w:t>
      </w:r>
      <w:proofErr w:type="spellEnd"/>
      <w:r>
        <w:t xml:space="preserve"> yazılı bildirimle tek taraflı ve derhâl feshetme ve ihtiyati tedbir talebi dâhil her türlü hukuki ve cezai yola başvurma hakları saklıdır.</w:t>
      </w:r>
    </w:p>
    <w:p w14:paraId="1CDCFF15" w14:textId="77777777" w:rsidR="00864A40" w:rsidRDefault="00000000">
      <w:pPr>
        <w:spacing w:before="240" w:after="120" w:line="276" w:lineRule="auto"/>
      </w:pPr>
      <w:r>
        <w:rPr>
          <w:b/>
          <w:bCs/>
        </w:rPr>
        <w:t>MADDE 13 – GARANTİ VERİLMEMESİ VE İLİŞKİNİN NİTELİĞİ</w:t>
      </w:r>
    </w:p>
    <w:p w14:paraId="65328ACA" w14:textId="77777777" w:rsidR="00864A40" w:rsidRDefault="00000000">
      <w:pPr>
        <w:spacing w:after="120" w:line="276" w:lineRule="auto"/>
        <w:jc w:val="both"/>
      </w:pPr>
      <w:r>
        <w:t>13.1. Gizli Bilgi “olduğu gibi” paylaşılır; Açıklayan Taraf, Gizli Bilgi’nin doğruluğu, eksiksizliği veya belirli bir amaca uygunluğu konusunda açık ya da zımni hiçbir garanti vermez.</w:t>
      </w:r>
    </w:p>
    <w:p w14:paraId="5F035022" w14:textId="77777777" w:rsidR="00864A40" w:rsidRDefault="00000000">
      <w:pPr>
        <w:spacing w:after="120" w:line="276" w:lineRule="auto"/>
        <w:jc w:val="both"/>
      </w:pPr>
      <w:r>
        <w:t>13.2. İşbu Sözleşme; Taraflar arasında ortaklık, temsilcilik, acentelik, iş veya istihdam ilişkisi ya da ortak girişim kurulduğu şeklinde yorumlanamaz. İşbu Sözleşme’nin imzalanması, TEKMER bakımından herhangi bir başvurunun kabulü, kuluçka veya iş birliği sözleşmesi akdedilmesi yahut destek ya da teşvik sağlanması yükümlülüğü doğurmaz.</w:t>
      </w:r>
    </w:p>
    <w:p w14:paraId="1D25FFA5" w14:textId="77777777" w:rsidR="00864A40" w:rsidRDefault="00000000">
      <w:pPr>
        <w:spacing w:before="240" w:after="120" w:line="276" w:lineRule="auto"/>
      </w:pPr>
      <w:r>
        <w:rPr>
          <w:b/>
          <w:bCs/>
        </w:rPr>
        <w:t>MADDE 14 – DEVİR YASAĞI</w:t>
      </w:r>
    </w:p>
    <w:p w14:paraId="55CD27DE" w14:textId="77777777" w:rsidR="00864A40" w:rsidRDefault="00000000">
      <w:pPr>
        <w:spacing w:after="120" w:line="276" w:lineRule="auto"/>
        <w:jc w:val="both"/>
      </w:pPr>
      <w:r>
        <w:t xml:space="preserve">14.1. Taraflardan hiçbiri, diğer Taraf’ın önceden alınmış yazılı onayı olmaksızın işbu </w:t>
      </w:r>
      <w:proofErr w:type="spellStart"/>
      <w:r>
        <w:t>Sözleşme’den</w:t>
      </w:r>
      <w:proofErr w:type="spellEnd"/>
      <w:r>
        <w:t xml:space="preserve"> doğan hak ve yükümlülüklerini kısmen veya tamamen üçüncü kişilere devredemez.</w:t>
      </w:r>
    </w:p>
    <w:p w14:paraId="083753FB" w14:textId="77777777" w:rsidR="00E535BA" w:rsidRDefault="00E535BA">
      <w:pPr>
        <w:rPr>
          <w:b/>
          <w:bCs/>
        </w:rPr>
      </w:pPr>
      <w:r>
        <w:rPr>
          <w:b/>
          <w:bCs/>
        </w:rPr>
        <w:br w:type="page"/>
      </w:r>
    </w:p>
    <w:p w14:paraId="3A7F6211" w14:textId="7F9EBFF7" w:rsidR="00864A40" w:rsidRDefault="00000000">
      <w:pPr>
        <w:spacing w:before="240" w:after="120" w:line="276" w:lineRule="auto"/>
      </w:pPr>
      <w:r>
        <w:rPr>
          <w:b/>
          <w:bCs/>
        </w:rPr>
        <w:lastRenderedPageBreak/>
        <w:t>MADDE 15 – BİLDİRİMLER</w:t>
      </w:r>
    </w:p>
    <w:p w14:paraId="43E1E7AA" w14:textId="77777777" w:rsidR="00864A40" w:rsidRDefault="00000000">
      <w:pPr>
        <w:spacing w:after="120" w:line="276" w:lineRule="auto"/>
        <w:jc w:val="both"/>
      </w:pPr>
      <w:r>
        <w:t>15.1. İşbu Sözleşme kapsamındaki bildirimler, Tarafların 1. maddede yazılı adreslerine yazılı olarak yapılır. Adres değişiklikleri [5] iş günü içinde karşı Taraf’a yazılı olarak bildirilmedikçe mevcut adrese yapılan tebligatlar geçerli sayılır.</w:t>
      </w:r>
    </w:p>
    <w:p w14:paraId="4C813528" w14:textId="77777777" w:rsidR="00864A40" w:rsidRDefault="00000000">
      <w:pPr>
        <w:spacing w:after="120" w:line="276" w:lineRule="auto"/>
        <w:jc w:val="both"/>
      </w:pPr>
      <w:r>
        <w:t>15.2. Tacir sıfatını haiz Taraflar bakımından; temerrüt, fesih ve dönmeye ilişkin ihbar ve ihtarların 6102 sayılı Türk Ticaret Kanunu’nun 18/3. maddesi uyarınca noter aracılığıyla, taahhütlü mektupla, telgrafla veya güvenli elektronik imza kullanılarak kayıtlı elektronik posta (KEP) sistemi ile yapılması şarttır.</w:t>
      </w:r>
    </w:p>
    <w:p w14:paraId="13E1158D" w14:textId="77777777" w:rsidR="00864A40" w:rsidRDefault="00000000">
      <w:pPr>
        <w:spacing w:before="240" w:after="120" w:line="276" w:lineRule="auto"/>
      </w:pPr>
      <w:r>
        <w:rPr>
          <w:b/>
          <w:bCs/>
        </w:rPr>
        <w:t>MADDE 16 – MUHTELİF HÜKÜMLER</w:t>
      </w:r>
    </w:p>
    <w:p w14:paraId="3D0489C8" w14:textId="77777777" w:rsidR="00864A40" w:rsidRDefault="00000000">
      <w:pPr>
        <w:spacing w:after="120" w:line="276" w:lineRule="auto"/>
        <w:jc w:val="both"/>
      </w:pPr>
      <w:r>
        <w:t>16.1. (Kısmi Geçersizlik) İşbu Sözleşme’nin herhangi bir hükmünün geçersiz veya uygulanamaz hâle gelmesi, diğer hükümlerin geçerliliğini etkilemez. Geçersiz hüküm, Tarafların iradesine ve hükmün amacına en yakın geçerli hükümle ikame edilmiş sayılır.</w:t>
      </w:r>
    </w:p>
    <w:p w14:paraId="7226830A" w14:textId="77777777" w:rsidR="00864A40" w:rsidRDefault="00000000">
      <w:pPr>
        <w:spacing w:after="120" w:line="276" w:lineRule="auto"/>
        <w:jc w:val="both"/>
      </w:pPr>
      <w:r>
        <w:t xml:space="preserve">16.2. (Feragat Etmeme) Taraflardan birinin işbu </w:t>
      </w:r>
      <w:proofErr w:type="spellStart"/>
      <w:r>
        <w:t>Sözleşme’den</w:t>
      </w:r>
      <w:proofErr w:type="spellEnd"/>
      <w:r>
        <w:t xml:space="preserve"> doğan herhangi bir hakkını kullanmaması veya geç kullanması, o haktan feragat ettiği anlamına gelmez.</w:t>
      </w:r>
    </w:p>
    <w:p w14:paraId="4A7DF81D" w14:textId="77777777" w:rsidR="00864A40" w:rsidRDefault="00000000">
      <w:pPr>
        <w:spacing w:after="120" w:line="276" w:lineRule="auto"/>
        <w:jc w:val="both"/>
      </w:pPr>
      <w:r>
        <w:t xml:space="preserve">16.3. (Yazılı Değişiklik) İşbu </w:t>
      </w:r>
      <w:proofErr w:type="spellStart"/>
      <w:r>
        <w:t>Sözleşme’de</w:t>
      </w:r>
      <w:proofErr w:type="spellEnd"/>
      <w:r>
        <w:t xml:space="preserve"> yapılacak her türlü değişiklik ve ek, Taraflarca yazılı olarak yapılmadıkça hüküm ifade etmez.</w:t>
      </w:r>
    </w:p>
    <w:p w14:paraId="5DA45683" w14:textId="77777777" w:rsidR="00864A40" w:rsidRDefault="00000000">
      <w:pPr>
        <w:spacing w:after="120" w:line="276" w:lineRule="auto"/>
        <w:jc w:val="both"/>
      </w:pPr>
      <w:r>
        <w:t>16.4. (Sözleşmenin Bütünlüğü) İşbu Sözleşme, konusuna ilişkin olarak Taraflar arasındaki önceki tarihli tüm sözlü ve yazılı mutabakatların yerine geçer.</w:t>
      </w:r>
    </w:p>
    <w:p w14:paraId="0497C19A" w14:textId="77777777" w:rsidR="00864A40" w:rsidRDefault="00000000">
      <w:pPr>
        <w:spacing w:before="240" w:after="120" w:line="276" w:lineRule="auto"/>
      </w:pPr>
      <w:r>
        <w:rPr>
          <w:b/>
          <w:bCs/>
        </w:rPr>
        <w:t>MADDE 17 – UYGULANACAK HUKUK VE YETKİLİ MAHKEME</w:t>
      </w:r>
    </w:p>
    <w:p w14:paraId="4CEAD489" w14:textId="77777777" w:rsidR="00864A40" w:rsidRDefault="00000000">
      <w:pPr>
        <w:spacing w:after="120" w:line="276" w:lineRule="auto"/>
        <w:jc w:val="both"/>
      </w:pPr>
      <w:r>
        <w:t xml:space="preserve">17.1. İşbu Sözleşme, Türkiye Cumhuriyeti kanunlarına tabidir. İşbu </w:t>
      </w:r>
      <w:proofErr w:type="spellStart"/>
      <w:r>
        <w:t>Sözleşme’den</w:t>
      </w:r>
      <w:proofErr w:type="spellEnd"/>
      <w:r>
        <w:t xml:space="preserve"> doğan veya işbu Sözleşme ile bağlantılı her türlü uyuşmazlığın çözümünde İstanbul Mahkemeleri ve İcra Daireleri yetkilidir.</w:t>
      </w:r>
    </w:p>
    <w:p w14:paraId="67E87052" w14:textId="77777777" w:rsidR="00864A40" w:rsidRDefault="00000000">
      <w:pPr>
        <w:spacing w:before="240" w:after="120" w:line="276" w:lineRule="auto"/>
      </w:pPr>
      <w:r>
        <w:rPr>
          <w:b/>
          <w:bCs/>
        </w:rPr>
        <w:t>MADDE 18 – YÜRÜRLÜK, NÜSHA VE İMZA</w:t>
      </w:r>
    </w:p>
    <w:p w14:paraId="5B29F0D9" w14:textId="77777777" w:rsidR="00864A40" w:rsidRDefault="00000000">
      <w:pPr>
        <w:spacing w:after="120" w:line="276" w:lineRule="auto"/>
        <w:jc w:val="both"/>
      </w:pPr>
      <w:r>
        <w:t>18.1. İşbu Sözleşme, on sekiz (18) maddeden ibaret olup [GÜN.AY.YIL] tarihinde, her biri asıl hükmünde [2 (iki)] nüsha olarak düzenlenmiş; Taraflarca okunup anlaşılarak hür iradeleriyle imza altına alınmış ve imza tarihinde yürürlüğe girmiştir. Birer nüshası Taraflara teslim edilmiştir.</w:t>
      </w:r>
    </w:p>
    <w:p w14:paraId="0337946C" w14:textId="77777777" w:rsidR="003F1CD1" w:rsidRDefault="003F1CD1" w:rsidP="003F1CD1">
      <w:pPr>
        <w:spacing w:before="300" w:after="200" w:line="276" w:lineRule="auto"/>
        <w:rPr>
          <w:b/>
          <w:bCs/>
        </w:rPr>
      </w:pPr>
    </w:p>
    <w:p w14:paraId="7309A6B8" w14:textId="47117162" w:rsidR="00864A40" w:rsidRDefault="00000000" w:rsidP="003F1CD1">
      <w:pPr>
        <w:spacing w:before="300" w:after="200" w:line="276" w:lineRule="auto"/>
      </w:pPr>
      <w:r>
        <w:rPr>
          <w:b/>
          <w:bCs/>
        </w:rPr>
        <w:t>TARAFLAR</w:t>
      </w:r>
    </w:p>
    <w:tbl>
      <w:tblPr>
        <w:tblW w:w="9026" w:type="dxa"/>
        <w:tblCellMar>
          <w:left w:w="10" w:type="dxa"/>
          <w:right w:w="10" w:type="dxa"/>
        </w:tblCellMar>
        <w:tblLook w:val="04A0" w:firstRow="1" w:lastRow="0" w:firstColumn="1" w:lastColumn="0" w:noHBand="0" w:noVBand="1"/>
      </w:tblPr>
      <w:tblGrid>
        <w:gridCol w:w="4513"/>
        <w:gridCol w:w="4513"/>
      </w:tblGrid>
      <w:tr w:rsidR="00864A40" w14:paraId="0337F577" w14:textId="77777777">
        <w:tblPrEx>
          <w:tblCellMar>
            <w:top w:w="0" w:type="dxa"/>
            <w:bottom w:w="0" w:type="dxa"/>
          </w:tblCellMar>
        </w:tblPrEx>
        <w:tc>
          <w:tcPr>
            <w:tcW w:w="4513" w:type="dxa"/>
          </w:tcPr>
          <w:p w14:paraId="544DE4A4" w14:textId="77777777" w:rsidR="00864A40" w:rsidRDefault="00000000">
            <w:pPr>
              <w:spacing w:after="120"/>
            </w:pPr>
            <w:r>
              <w:rPr>
                <w:b/>
                <w:bCs/>
              </w:rPr>
              <w:t>TEKMER ADINA</w:t>
            </w:r>
          </w:p>
          <w:p w14:paraId="4B4954E6" w14:textId="2C12EAEE" w:rsidR="00864A40" w:rsidRDefault="00000000">
            <w:pPr>
              <w:spacing w:after="100" w:line="276" w:lineRule="auto"/>
            </w:pPr>
            <w:r>
              <w:t xml:space="preserve">Unvan: </w:t>
            </w:r>
            <w:r w:rsidR="00E535BA" w:rsidRPr="00D26C7C">
              <w:t>HALİÇ AI TEKNOLOJİ GELİŞTİRME MERKEZİ A.Ş.</w:t>
            </w:r>
          </w:p>
          <w:p w14:paraId="574AD5EB" w14:textId="77777777" w:rsidR="00864A40" w:rsidRDefault="00000000">
            <w:pPr>
              <w:spacing w:after="100" w:line="276" w:lineRule="auto"/>
            </w:pPr>
            <w:r>
              <w:t xml:space="preserve">Yetkili Ad </w:t>
            </w:r>
            <w:proofErr w:type="spellStart"/>
            <w:r>
              <w:t>Soyad</w:t>
            </w:r>
            <w:proofErr w:type="spellEnd"/>
            <w:r>
              <w:t xml:space="preserve"> – Görevi: [………]</w:t>
            </w:r>
          </w:p>
          <w:p w14:paraId="36AF7FFE" w14:textId="77777777" w:rsidR="00864A40" w:rsidRDefault="00864A40">
            <w:pPr>
              <w:spacing w:after="400"/>
            </w:pPr>
          </w:p>
          <w:p w14:paraId="0D58FD47" w14:textId="77777777" w:rsidR="003F1CD1" w:rsidRDefault="003F1CD1">
            <w:pPr>
              <w:spacing w:after="400"/>
            </w:pPr>
          </w:p>
          <w:p w14:paraId="05CE0CBE" w14:textId="77777777" w:rsidR="00864A40" w:rsidRDefault="00000000">
            <w:pPr>
              <w:spacing w:after="100" w:line="276" w:lineRule="auto"/>
            </w:pPr>
            <w:r>
              <w:t>İmza / Kaşe:</w:t>
            </w:r>
          </w:p>
        </w:tc>
        <w:tc>
          <w:tcPr>
            <w:tcW w:w="4513" w:type="dxa"/>
          </w:tcPr>
          <w:p w14:paraId="4CCB83DA" w14:textId="77777777" w:rsidR="00864A40" w:rsidRDefault="00000000">
            <w:pPr>
              <w:spacing w:after="120"/>
            </w:pPr>
            <w:r>
              <w:rPr>
                <w:b/>
                <w:bCs/>
              </w:rPr>
              <w:t>KATILIMCI</w:t>
            </w:r>
          </w:p>
          <w:p w14:paraId="368E3031" w14:textId="77777777" w:rsidR="00864A40" w:rsidRDefault="00000000">
            <w:pPr>
              <w:spacing w:after="100" w:line="276" w:lineRule="auto"/>
            </w:pPr>
            <w:r>
              <w:t xml:space="preserve">Ad </w:t>
            </w:r>
            <w:proofErr w:type="spellStart"/>
            <w:r>
              <w:t>Soyad</w:t>
            </w:r>
            <w:proofErr w:type="spellEnd"/>
            <w:r>
              <w:t xml:space="preserve"> / Ticaret Unvanı: [………]</w:t>
            </w:r>
          </w:p>
          <w:p w14:paraId="07DB9428" w14:textId="77777777" w:rsidR="00864A40" w:rsidRDefault="00000000">
            <w:pPr>
              <w:spacing w:after="100" w:line="276" w:lineRule="auto"/>
            </w:pPr>
            <w:r>
              <w:t>T.C. Kimlik No / Vergi No: [………]</w:t>
            </w:r>
          </w:p>
          <w:p w14:paraId="0DCF7988" w14:textId="77777777" w:rsidR="00864A40" w:rsidRDefault="00000000">
            <w:pPr>
              <w:spacing w:after="100" w:line="276" w:lineRule="auto"/>
            </w:pPr>
            <w:r>
              <w:t>Temsile Yetkili Kişi (tüzel kişi ise): [………]</w:t>
            </w:r>
          </w:p>
          <w:p w14:paraId="2614D32C" w14:textId="77777777" w:rsidR="00864A40" w:rsidRDefault="00864A40">
            <w:pPr>
              <w:spacing w:after="280"/>
            </w:pPr>
          </w:p>
          <w:p w14:paraId="386CED8D" w14:textId="77777777" w:rsidR="003F1CD1" w:rsidRDefault="003F1CD1">
            <w:pPr>
              <w:spacing w:after="280"/>
            </w:pPr>
          </w:p>
          <w:p w14:paraId="07F5FEAD" w14:textId="77777777" w:rsidR="00864A40" w:rsidRDefault="00000000">
            <w:pPr>
              <w:spacing w:after="100" w:line="276" w:lineRule="auto"/>
            </w:pPr>
            <w:r>
              <w:t>İmza / Kaşe:</w:t>
            </w:r>
          </w:p>
        </w:tc>
      </w:tr>
    </w:tbl>
    <w:p w14:paraId="5A08FB20" w14:textId="3510BE55" w:rsidR="00864A40" w:rsidRDefault="00000000" w:rsidP="004E68C6">
      <w:r>
        <w:br w:type="page"/>
      </w:r>
    </w:p>
    <w:sectPr w:rsidR="00864A40">
      <w:footerReference w:type="default" r:id="rId7"/>
      <w:pgSz w:w="11906" w:h="16838"/>
      <w:pgMar w:top="1440" w:right="1418" w:bottom="130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A5589" w14:textId="77777777" w:rsidR="004D2A8F" w:rsidRDefault="004D2A8F">
      <w:r>
        <w:separator/>
      </w:r>
    </w:p>
  </w:endnote>
  <w:endnote w:type="continuationSeparator" w:id="0">
    <w:p w14:paraId="3BBF4C6B" w14:textId="77777777" w:rsidR="004D2A8F" w:rsidRDefault="004D2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9842A" w14:textId="77777777" w:rsidR="00864A40" w:rsidRDefault="00000000">
    <w:pPr>
      <w:spacing w:after="20"/>
      <w:jc w:val="right"/>
    </w:pPr>
    <w:r>
      <w:rPr>
        <w:i/>
        <w:iCs/>
        <w:color w:val="555555"/>
        <w:sz w:val="16"/>
        <w:szCs w:val="16"/>
      </w:rPr>
      <w:t>Paraf (TEKMER): ..............          Paraf (Katılımcı): ..............</w:t>
    </w:r>
  </w:p>
  <w:p w14:paraId="5A0FF774" w14:textId="77777777" w:rsidR="00864A40" w:rsidRDefault="00000000">
    <w:pPr>
      <w:jc w:val="center"/>
    </w:pPr>
    <w:r>
      <w:rPr>
        <w:color w:val="555555"/>
        <w:sz w:val="16"/>
        <w:szCs w:val="16"/>
      </w:rPr>
      <w:t xml:space="preserve">Sayfa </w:t>
    </w:r>
    <w:r>
      <w:rPr>
        <w:color w:val="555555"/>
        <w:sz w:val="16"/>
        <w:szCs w:val="16"/>
      </w:rPr>
      <w:fldChar w:fldCharType="begin"/>
    </w:r>
    <w:r>
      <w:rPr>
        <w:color w:val="555555"/>
        <w:sz w:val="16"/>
        <w:szCs w:val="16"/>
      </w:rPr>
      <w:instrText>PAGE</w:instrText>
    </w:r>
    <w:r>
      <w:rPr>
        <w:color w:val="555555"/>
        <w:sz w:val="16"/>
        <w:szCs w:val="16"/>
      </w:rPr>
      <w:fldChar w:fldCharType="separate"/>
    </w:r>
    <w:r w:rsidR="00E535BA">
      <w:rPr>
        <w:noProof/>
        <w:color w:val="555555"/>
        <w:sz w:val="16"/>
        <w:szCs w:val="16"/>
      </w:rPr>
      <w:t>1</w:t>
    </w:r>
    <w:r>
      <w:rPr>
        <w:color w:val="555555"/>
        <w:sz w:val="16"/>
        <w:szCs w:val="16"/>
      </w:rPr>
      <w:fldChar w:fldCharType="end"/>
    </w:r>
    <w:r>
      <w:rPr>
        <w:color w:val="555555"/>
        <w:sz w:val="16"/>
        <w:szCs w:val="16"/>
      </w:rPr>
      <w:t xml:space="preserve"> / </w:t>
    </w:r>
    <w:r>
      <w:rPr>
        <w:color w:val="555555"/>
        <w:sz w:val="16"/>
        <w:szCs w:val="16"/>
      </w:rPr>
      <w:fldChar w:fldCharType="begin"/>
    </w:r>
    <w:r>
      <w:rPr>
        <w:color w:val="555555"/>
        <w:sz w:val="16"/>
        <w:szCs w:val="16"/>
      </w:rPr>
      <w:instrText>NUMPAGES</w:instrText>
    </w:r>
    <w:r>
      <w:rPr>
        <w:color w:val="555555"/>
        <w:sz w:val="16"/>
        <w:szCs w:val="16"/>
      </w:rPr>
      <w:fldChar w:fldCharType="separate"/>
    </w:r>
    <w:r w:rsidR="00E535BA">
      <w:rPr>
        <w:noProof/>
        <w:color w:val="555555"/>
        <w:sz w:val="16"/>
        <w:szCs w:val="16"/>
      </w:rPr>
      <w:t>2</w:t>
    </w:r>
    <w:r>
      <w:rPr>
        <w:color w:val="555555"/>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31C78" w14:textId="77777777" w:rsidR="004D2A8F" w:rsidRDefault="004D2A8F">
      <w:r>
        <w:separator/>
      </w:r>
    </w:p>
  </w:footnote>
  <w:footnote w:type="continuationSeparator" w:id="0">
    <w:p w14:paraId="2C673FED" w14:textId="77777777" w:rsidR="004D2A8F" w:rsidRDefault="004D2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564656"/>
    <w:multiLevelType w:val="hybridMultilevel"/>
    <w:tmpl w:val="2626DA82"/>
    <w:lvl w:ilvl="0" w:tplc="5EAEA316">
      <w:start w:val="1"/>
      <w:numFmt w:val="bullet"/>
      <w:lvlText w:val="●"/>
      <w:lvlJc w:val="left"/>
      <w:pPr>
        <w:ind w:left="720" w:hanging="360"/>
      </w:pPr>
    </w:lvl>
    <w:lvl w:ilvl="1" w:tplc="029EC6C2">
      <w:start w:val="1"/>
      <w:numFmt w:val="bullet"/>
      <w:lvlText w:val="○"/>
      <w:lvlJc w:val="left"/>
      <w:pPr>
        <w:ind w:left="1440" w:hanging="360"/>
      </w:pPr>
    </w:lvl>
    <w:lvl w:ilvl="2" w:tplc="BA5A9E56">
      <w:start w:val="1"/>
      <w:numFmt w:val="bullet"/>
      <w:lvlText w:val="■"/>
      <w:lvlJc w:val="left"/>
      <w:pPr>
        <w:ind w:left="2160" w:hanging="360"/>
      </w:pPr>
    </w:lvl>
    <w:lvl w:ilvl="3" w:tplc="EB26C7D0">
      <w:start w:val="1"/>
      <w:numFmt w:val="bullet"/>
      <w:lvlText w:val="●"/>
      <w:lvlJc w:val="left"/>
      <w:pPr>
        <w:ind w:left="2880" w:hanging="360"/>
      </w:pPr>
    </w:lvl>
    <w:lvl w:ilvl="4" w:tplc="F5D0F5EA">
      <w:start w:val="1"/>
      <w:numFmt w:val="bullet"/>
      <w:lvlText w:val="○"/>
      <w:lvlJc w:val="left"/>
      <w:pPr>
        <w:ind w:left="3600" w:hanging="360"/>
      </w:pPr>
    </w:lvl>
    <w:lvl w:ilvl="5" w:tplc="D2AA71AC">
      <w:start w:val="1"/>
      <w:numFmt w:val="bullet"/>
      <w:lvlText w:val="■"/>
      <w:lvlJc w:val="left"/>
      <w:pPr>
        <w:ind w:left="4320" w:hanging="360"/>
      </w:pPr>
    </w:lvl>
    <w:lvl w:ilvl="6" w:tplc="4DEE367A">
      <w:start w:val="1"/>
      <w:numFmt w:val="bullet"/>
      <w:lvlText w:val="●"/>
      <w:lvlJc w:val="left"/>
      <w:pPr>
        <w:ind w:left="5040" w:hanging="360"/>
      </w:pPr>
    </w:lvl>
    <w:lvl w:ilvl="7" w:tplc="73ECB1B0">
      <w:start w:val="1"/>
      <w:numFmt w:val="bullet"/>
      <w:lvlText w:val="●"/>
      <w:lvlJc w:val="left"/>
      <w:pPr>
        <w:ind w:left="5760" w:hanging="360"/>
      </w:pPr>
    </w:lvl>
    <w:lvl w:ilvl="8" w:tplc="270C62A0">
      <w:start w:val="1"/>
      <w:numFmt w:val="bullet"/>
      <w:lvlText w:val="●"/>
      <w:lvlJc w:val="left"/>
      <w:pPr>
        <w:ind w:left="6480" w:hanging="360"/>
      </w:pPr>
    </w:lvl>
  </w:abstractNum>
  <w:abstractNum w:abstractNumId="1" w15:restartNumberingAfterBreak="0">
    <w:nsid w:val="7D42106F"/>
    <w:multiLevelType w:val="hybridMultilevel"/>
    <w:tmpl w:val="576AFAC4"/>
    <w:lvl w:ilvl="0" w:tplc="C02CF770">
      <w:start w:val="1"/>
      <w:numFmt w:val="bullet"/>
      <w:lvlText w:val="•"/>
      <w:lvlJc w:val="left"/>
      <w:pPr>
        <w:ind w:left="425" w:hanging="285"/>
      </w:pPr>
    </w:lvl>
    <w:lvl w:ilvl="1" w:tplc="1D3E5C60">
      <w:numFmt w:val="decimal"/>
      <w:lvlText w:val=""/>
      <w:lvlJc w:val="left"/>
    </w:lvl>
    <w:lvl w:ilvl="2" w:tplc="617C6B10">
      <w:numFmt w:val="decimal"/>
      <w:lvlText w:val=""/>
      <w:lvlJc w:val="left"/>
    </w:lvl>
    <w:lvl w:ilvl="3" w:tplc="C7CA2ABC">
      <w:numFmt w:val="decimal"/>
      <w:lvlText w:val=""/>
      <w:lvlJc w:val="left"/>
    </w:lvl>
    <w:lvl w:ilvl="4" w:tplc="C60E80FC">
      <w:numFmt w:val="decimal"/>
      <w:lvlText w:val=""/>
      <w:lvlJc w:val="left"/>
    </w:lvl>
    <w:lvl w:ilvl="5" w:tplc="CFF0BEFA">
      <w:numFmt w:val="decimal"/>
      <w:lvlText w:val=""/>
      <w:lvlJc w:val="left"/>
    </w:lvl>
    <w:lvl w:ilvl="6" w:tplc="120252AE">
      <w:numFmt w:val="decimal"/>
      <w:lvlText w:val=""/>
      <w:lvlJc w:val="left"/>
    </w:lvl>
    <w:lvl w:ilvl="7" w:tplc="65F854A6">
      <w:numFmt w:val="decimal"/>
      <w:lvlText w:val=""/>
      <w:lvlJc w:val="left"/>
    </w:lvl>
    <w:lvl w:ilvl="8" w:tplc="E282515E">
      <w:numFmt w:val="decimal"/>
      <w:lvlText w:val=""/>
      <w:lvlJc w:val="left"/>
    </w:lvl>
  </w:abstractNum>
  <w:num w:numId="1" w16cid:durableId="1629816112">
    <w:abstractNumId w:val="0"/>
    <w:lvlOverride w:ilvl="0">
      <w:startOverride w:val="1"/>
    </w:lvlOverride>
  </w:num>
  <w:num w:numId="2" w16cid:durableId="93987057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A40"/>
    <w:rsid w:val="003F1CD1"/>
    <w:rsid w:val="004D2A8F"/>
    <w:rsid w:val="004E68C6"/>
    <w:rsid w:val="00864A40"/>
    <w:rsid w:val="009B4212"/>
    <w:rsid w:val="00E535BA"/>
    <w:rsid w:val="00F14C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81E6F"/>
  <w15:docId w15:val="{11B56D61-9364-48E7-8B08-55CB81C0B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2068</Words>
  <Characters>11790</Characters>
  <Application>Microsoft Office Word</Application>
  <DocSecurity>0</DocSecurity>
  <Lines>98</Lines>
  <Paragraphs>27</Paragraphs>
  <ScaleCrop>false</ScaleCrop>
  <Company/>
  <LinksUpToDate>false</LinksUpToDate>
  <CharactersWithSpaces>13831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MUSTAFA TUNCER</cp:lastModifiedBy>
  <cp:revision>8</cp:revision>
  <dcterms:created xsi:type="dcterms:W3CDTF">2026-07-09T10:29:00Z</dcterms:created>
  <dcterms:modified xsi:type="dcterms:W3CDTF">2026-07-09T10:56:00Z</dcterms:modified>
</cp:coreProperties>
</file>